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小标宋简体" w:eastAsia="方正小标宋简体"/>
          <w:sz w:val="36"/>
          <w:szCs w:val="32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36"/>
          <w:szCs w:val="32"/>
          <w:highlight w:val="none"/>
          <w:lang w:val="en-US" w:eastAsia="zh-CN"/>
        </w:rPr>
        <w:t>《晋城市中心城区2024年土地征收成片开发方案》（征求意见稿）主要内容</w:t>
      </w:r>
    </w:p>
    <w:p>
      <w:pPr>
        <w:pStyle w:val="4"/>
        <w:spacing w:line="360" w:lineRule="auto"/>
        <w:ind w:left="0" w:leftChars="0" w:firstLine="640" w:firstLineChars="200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一、实施时限：2024年。</w:t>
      </w:r>
    </w:p>
    <w:p>
      <w:pPr>
        <w:pStyle w:val="4"/>
        <w:spacing w:line="360" w:lineRule="auto"/>
        <w:ind w:left="0" w:leftChars="0" w:firstLine="640" w:firstLineChars="200"/>
        <w:rPr>
          <w:rFonts w:ascii="仿宋_GB2312" w:hAnsi="仿宋_GB2312" w:eastAsia="仿宋_GB2312" w:cs="仿宋_GB2312"/>
          <w:color w:val="00000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二、涉及的区域和范围：市本级的成片开发方案包括城区和开发区，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eastAsia="zh-CN"/>
        </w:rPr>
        <w:t>涉及到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城区东街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、西街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、南街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、北街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、西上庄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、</w:t>
      </w:r>
      <w:r>
        <w:rPr>
          <w:rFonts w:hint="eastAsia" w:ascii="仿宋_GB2312" w:eastAsia="仿宋_GB2312" w:hAnsiTheme="minorHAnsi"/>
          <w:sz w:val="32"/>
          <w:szCs w:val="32"/>
          <w:highlight w:val="none"/>
        </w:rPr>
        <w:t>开发区街道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个镇（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24个村（社区）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。</w:t>
      </w:r>
    </w:p>
    <w:p>
      <w:pPr>
        <w:pStyle w:val="4"/>
        <w:spacing w:line="360" w:lineRule="auto"/>
        <w:ind w:left="0" w:leftChars="0" w:firstLine="640" w:firstLineChars="200"/>
        <w:rPr>
          <w:rFonts w:ascii="仿宋_GB2312" w:hAnsi="仿宋_GB2312" w:eastAsia="仿宋_GB2312" w:cs="仿宋_GB2312"/>
          <w:color w:val="00000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共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个片区，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eastAsia="zh-CN"/>
        </w:rPr>
        <w:t>具体是：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val="en-US" w:eastAsia="zh-CN"/>
        </w:rPr>
        <w:t>白马寺片区、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西北片区</w:t>
      </w:r>
      <w:r>
        <w:rPr>
          <w:rFonts w:ascii="仿宋_GB2312" w:hAnsi="仿宋_GB2312" w:eastAsia="仿宋_GB2312" w:cs="仿宋_GB2312"/>
          <w:color w:val="000000"/>
          <w:sz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、西北片区</w:t>
      </w:r>
      <w:r>
        <w:rPr>
          <w:rFonts w:ascii="仿宋_GB2312" w:hAnsi="仿宋_GB2312" w:eastAsia="仿宋_GB2312" w:cs="仿宋_GB2312"/>
          <w:color w:val="000000"/>
          <w:sz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、金匠片区等，总面积</w:t>
      </w:r>
      <w:r>
        <w:rPr>
          <w:rFonts w:hint="eastAsia" w:ascii="仿宋_GB2312" w:eastAsia="仿宋_GB2312" w:hAnsiTheme="minorHAnsi"/>
          <w:sz w:val="32"/>
          <w:szCs w:val="32"/>
          <w:highlight w:val="none"/>
          <w:lang w:val="en-US" w:eastAsia="zh-CN"/>
        </w:rPr>
        <w:t>322.8687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公顷</w:t>
      </w:r>
      <w:r>
        <w:rPr>
          <w:rFonts w:hint="eastAsia" w:ascii="仿宋_GB2312" w:hAnsi="仿宋_GB2312" w:eastAsia="仿宋_GB2312" w:cs="仿宋_GB2312"/>
          <w:color w:val="000000"/>
          <w:sz w:val="32"/>
          <w:highlight w:val="none"/>
          <w:lang w:eastAsia="zh-CN"/>
        </w:rPr>
        <w:t>。</w:t>
      </w:r>
    </w:p>
    <w:p>
      <w:pPr>
        <w:widowControl w:val="0"/>
        <w:wordWrap/>
        <w:adjustRightInd w:val="0"/>
        <w:snapToGrid w:val="0"/>
        <w:spacing w:beforeLines="0" w:afterLines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三、土地用途和项目：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本次</w:t>
      </w:r>
      <w:r>
        <w:rPr>
          <w:rFonts w:hint="eastAsia" w:ascii="仿宋_GB2312" w:eastAsia="仿宋_GB2312"/>
          <w:sz w:val="32"/>
          <w:szCs w:val="32"/>
          <w:highlight w:val="none"/>
        </w:rPr>
        <w:t>成片开发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范围总用地面积</w:t>
      </w:r>
      <w:r>
        <w:rPr>
          <w:rFonts w:hint="eastAsia" w:ascii="仿宋_GB2312" w:eastAsia="仿宋_GB2312" w:hAnsiTheme="minorHAnsi"/>
          <w:sz w:val="32"/>
          <w:szCs w:val="32"/>
          <w:highlight w:val="none"/>
          <w:lang w:val="en-US" w:eastAsia="zh-CN"/>
        </w:rPr>
        <w:t>104.5947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公顷，按</w:t>
      </w:r>
      <w:r>
        <w:rPr>
          <w:rFonts w:hint="eastAsia" w:ascii="仿宋_GB2312" w:eastAsia="仿宋_GB2312"/>
          <w:sz w:val="32"/>
          <w:szCs w:val="32"/>
          <w:highlight w:val="none"/>
        </w:rPr>
        <w:t>用地规划用途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划分，</w:t>
      </w:r>
      <w:r>
        <w:rPr>
          <w:rFonts w:hint="eastAsia" w:ascii="仿宋_GB2312" w:eastAsia="仿宋_GB2312"/>
          <w:sz w:val="32"/>
          <w:szCs w:val="32"/>
          <w:highlight w:val="none"/>
        </w:rPr>
        <w:t>居住用地45.2658公顷，商业服务业用地16.8161公顷，交通运输用地14.1333公顷，公用设施用地0.4201公顷，绿地与开敞空间27.9594公顷。</w:t>
      </w:r>
    </w:p>
    <w:p>
      <w:pPr>
        <w:widowControl w:val="0"/>
        <w:wordWrap/>
        <w:adjustRightInd w:val="0"/>
        <w:snapToGrid w:val="0"/>
        <w:spacing w:beforeLines="0" w:afterLines="0" w:line="60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本次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成片开发拟安排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27个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建设项目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主要有凤城康养示范区项目、西北环拆迁改造项目等。通过土地征收成片开发实施，聚焦片区化改造，实现白马寺片区、西北片区、金匠片区等片区的城市更新改造，重构城市空间格局，提升城市的生态宜居性。同时加快推进文化、教育、体育等公共服务设施建设，完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善城市基础设施，提升城市空间的承载能力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mY3ZjczZmViYjRjZjhlMzY1NzM0ZGFlZmNmMmYifQ=="/>
  </w:docVars>
  <w:rsids>
    <w:rsidRoot w:val="00000000"/>
    <w:rsid w:val="0BB33ABE"/>
    <w:rsid w:val="2A051EC7"/>
    <w:rsid w:val="62B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引文目录1"/>
    <w:basedOn w:val="1"/>
    <w:next w:val="1"/>
    <w:autoRedefine/>
    <w:qFormat/>
    <w:uiPriority w:val="99"/>
    <w:pPr>
      <w:suppressAutoHyphens/>
      <w:ind w:left="420" w:leftChars="200"/>
    </w:pPr>
    <w:rPr>
      <w:rFonts w:ascii="Calibri" w:hAnsi="Calibri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586</Characters>
  <Lines>0</Lines>
  <Paragraphs>0</Paragraphs>
  <TotalTime>2</TotalTime>
  <ScaleCrop>false</ScaleCrop>
  <LinksUpToDate>false</LinksUpToDate>
  <CharactersWithSpaces>586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2024-05-11T01:55:00Z</dcterms:created>
  <dc:creator>lenovo</dc:creator>
  <cp:lastModifiedBy>马</cp:lastModifiedBy>
  <dcterms:modified xsi:type="dcterms:W3CDTF">2024-07-02T11:41:46Z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D8EDB4234F194B389682D7909561E282_12</vt:lpwstr>
  </property>
</Properties>
</file>