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56" w:tblpY="2523"/>
        <w:tblOverlap w:val="never"/>
        <w:tblW w:w="1450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951"/>
        <w:gridCol w:w="8152"/>
        <w:gridCol w:w="1297"/>
        <w:gridCol w:w="1585"/>
        <w:gridCol w:w="9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59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采购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名称</w:t>
            </w:r>
          </w:p>
        </w:tc>
        <w:tc>
          <w:tcPr>
            <w:tcW w:w="8152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采购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需求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概况</w:t>
            </w:r>
          </w:p>
        </w:tc>
        <w:tc>
          <w:tcPr>
            <w:tcW w:w="1297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预算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金额</w:t>
            </w:r>
          </w:p>
          <w:p>
            <w:pPr>
              <w:spacing w:line="300" w:lineRule="exact"/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(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万元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)</w:t>
            </w:r>
          </w:p>
        </w:tc>
        <w:tc>
          <w:tcPr>
            <w:tcW w:w="1585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预计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采购</w:t>
            </w:r>
          </w:p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时间</w:t>
            </w:r>
          </w:p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(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填写到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月)</w:t>
            </w: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0" w:hRule="atLeast"/>
        </w:trPr>
        <w:tc>
          <w:tcPr>
            <w:tcW w:w="55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1：10万市级地质灾害风险调查评价和地质灾害监测预警设备</w:t>
            </w:r>
          </w:p>
        </w:tc>
        <w:tc>
          <w:tcPr>
            <w:tcW w:w="8152" w:type="dxa"/>
            <w:vAlign w:val="center"/>
          </w:tcPr>
          <w:p>
            <w:pPr>
              <w:spacing w:line="320" w:lineRule="exact"/>
              <w:ind w:firstLine="482" w:firstLineChars="200"/>
              <w:jc w:val="left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地质灾害监测预警设备：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针对晋城市无法完成工程治理或搬迁避让的地质灾害隐患点，通过资料收集与实地调查，采用危岩倾角监测、滑坡裂缝监测、雨量监测、地面沉降监测等地质灾害专业监测手段，设计不同类型、具有针对性的监测方案。根据 2021 年汛前隐患排查情况，在现有336处地质灾害隐患点中筛选13处典型地质灾害点，安装监测设备，实时监测隐患变形动态，及时分级发布预警信息，监测数据与省级地质灾害监测预警平台实现对接，在监测时效内确保灾害影响内人民群众生命财产安全。</w:t>
            </w:r>
          </w:p>
          <w:p>
            <w:pPr>
              <w:spacing w:line="320" w:lineRule="exact"/>
              <w:ind w:firstLine="482" w:firstLineChars="200"/>
              <w:jc w:val="left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1:10万市级地质灾害风险调查评价：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在晋城市全境内6个县、市（区）开展地质灾害与孕灾地质条件、承灾体调查，判识地质灾害隐患，总结调查区地质灾害发育分布规律，分析地质灾害成灾模式；开展地质灾害易发性、危险性和风险评价，编制地质灾害风险调查评价相关图件；建立地质灾害风险调查空间数据库；提出地质灾害风险管控对策建议，为防灾减灾管理、国土空间规划和用途管制等提供基础依据。</w:t>
            </w:r>
          </w:p>
        </w:tc>
        <w:tc>
          <w:tcPr>
            <w:tcW w:w="129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492</w:t>
            </w:r>
          </w:p>
        </w:tc>
        <w:tc>
          <w:tcPr>
            <w:tcW w:w="15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2021年8月</w:t>
            </w:r>
          </w:p>
        </w:tc>
        <w:tc>
          <w:tcPr>
            <w:tcW w:w="958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2"/>
          <w:szCs w:val="32"/>
          <w:shd w:val="clear" w:fill="EEEEEE"/>
        </w:rPr>
        <w:t>晋城市规划和自然资源局采购意向公开表</w:t>
      </w:r>
    </w:p>
    <w:sectPr>
      <w:pgSz w:w="16838" w:h="11906" w:orient="landscape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D"/>
    <w:rsid w:val="00112A74"/>
    <w:rsid w:val="00162F6F"/>
    <w:rsid w:val="003F1BF6"/>
    <w:rsid w:val="004D382D"/>
    <w:rsid w:val="00CE4E32"/>
    <w:rsid w:val="0BBB7CE0"/>
    <w:rsid w:val="164D698A"/>
    <w:rsid w:val="1DC6652A"/>
    <w:rsid w:val="509F7B83"/>
    <w:rsid w:val="68984EC7"/>
    <w:rsid w:val="7AC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341558-9A76-41A5-85CD-16BC61C4DC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412</Words>
  <Characters>2351</Characters>
  <Lines>19</Lines>
  <Paragraphs>5</Paragraphs>
  <TotalTime>0</TotalTime>
  <ScaleCrop>false</ScaleCrop>
  <LinksUpToDate>false</LinksUpToDate>
  <CharactersWithSpaces>2758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2021-03-05T07:25:00Z</dcterms:created>
  <dc:creator>微软用户</dc:creator>
  <cp:lastModifiedBy>Administrator</cp:lastModifiedBy>
  <cp:lastPrinted>2021-07-02T08:09:00Z</cp:lastPrinted>
  <dcterms:modified xsi:type="dcterms:W3CDTF">2021-07-06T02:48:23Z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93223A95F197475D8F41BDFC6D6AFE70</vt:lpwstr>
  </property>
</Properties>
</file>